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870F" w14:textId="5D452378" w:rsidR="00DF4501" w:rsidRDefault="00E92C9A" w:rsidP="00E82191">
      <w:pPr>
        <w:pStyle w:val="berschrift2"/>
      </w:pPr>
      <w:proofErr w:type="gramStart"/>
      <w:r>
        <w:t>productionManager</w:t>
      </w:r>
      <w:proofErr w:type="gramEnd"/>
      <w:r>
        <w:t> : constitution de lots en quelques clics !</w:t>
      </w:r>
    </w:p>
    <w:p w14:paraId="0F51901D" w14:textId="2377E33E" w:rsidR="0066716B" w:rsidRPr="007B0B04" w:rsidRDefault="00DC4A77" w:rsidP="00C45AD8">
      <w:pPr>
        <w:pStyle w:val="berschrift1"/>
      </w:pPr>
      <w:r>
        <w:t>A vos lots, prêts, partez !</w:t>
      </w:r>
    </w:p>
    <w:p w14:paraId="719CB521" w14:textId="5A1779D5" w:rsidR="00B53E7B" w:rsidRDefault="00B53E7B" w:rsidP="6DD2B47F">
      <w:pPr>
        <w:rPr>
          <w:b/>
          <w:bCs/>
        </w:rPr>
      </w:pPr>
      <w:r>
        <w:rPr>
          <w:b/>
        </w:rPr>
        <w:t xml:space="preserve">Une gestion claire des différentes commandes dans productionManager ? Aucun problème ! La toute nouvelle fonction de constitution de lots offre un nouvel avantage : vous pouvez désormais regrouper très facilement vos commandes en lots de fabrication ! </w:t>
      </w:r>
    </w:p>
    <w:p w14:paraId="43CA4D41" w14:textId="24AB9E14" w:rsidR="0007360D" w:rsidRDefault="00C011D8" w:rsidP="6DD2B47F">
      <w:pPr>
        <w:rPr>
          <w:b/>
          <w:bCs/>
        </w:rPr>
      </w:pPr>
      <w:r>
        <w:rPr>
          <w:b/>
        </w:rPr>
        <w:t xml:space="preserve">Ainsi, vous augmentez non seulement votre productivité, mais réduisez également votre consommation de matériaux, car les commandes peuvent être regroupées intelligemment et transmises directement à la solution d'optimisation de la découpe de votre choix. </w:t>
      </w:r>
    </w:p>
    <w:p w14:paraId="161E6E95" w14:textId="1B98C321" w:rsidR="00A552AF" w:rsidRDefault="00C011D8" w:rsidP="00833FE2">
      <w:pPr>
        <w:pStyle w:val="berschrift2"/>
      </w:pPr>
      <w:r>
        <w:t>Constituer des lots tout en économisant de l'argent</w:t>
      </w:r>
    </w:p>
    <w:p w14:paraId="7B44D551" w14:textId="3DB4B598" w:rsidR="00EF7108" w:rsidRDefault="00EF7108" w:rsidP="0007360D">
      <w:r>
        <w:t>La fonction de constitution de lots vous aide à organiser et à créer vos lots de fabrication. Vous obtenez ainsi un aperçu de vos commandes à planifier et pouvez les regrouper en lots de fabrication en quelques clics. Vos lots de fabrication sont affichés directement dans productionManager et peuvent être gérés de manière claire. Ainsi, chaque collaborateur sait à tout moment quel est le statut des lots de fabrication (par exemple, « Nouveau », « Prêt pour la production », « En production »), et à quel moment un lot est complètement terminé.</w:t>
      </w:r>
    </w:p>
    <w:p w14:paraId="1D4DB017" w14:textId="77777777" w:rsidR="00742907" w:rsidRDefault="00742907" w:rsidP="0007360D"/>
    <w:p w14:paraId="6097A249" w14:textId="51DBA7CC" w:rsidR="00D131F0" w:rsidRDefault="00EF7108" w:rsidP="00E74FA5">
      <w:r>
        <w:t xml:space="preserve">La nouvelle fonction vous offre également la possibilité de regrouper des commandes en fonction d'indicateurs clés (matériau de chant ou de panneau identique, par exemple). Cela vous permet de réduire sensiblement votre consommation de matériaux, car les commandes nécessitant les mêmes matériaux sont optimisées pour la découpe. Vous économisez de l'argent et augmentez également votre productivité, car les composants avec des matériaux de panneaux et de chants identiques sont envoyés ensemble en production. Les réglages lors de la découpe (découpe et </w:t>
      </w:r>
      <w:r>
        <w:lastRenderedPageBreak/>
        <w:t xml:space="preserve">Nesting) et sur la plaqueuse de chants sont ainsi réduits. Grâce à d'autres indicateurs intéressants, notamment le nombre de meubles à monter, les effets de vos lots constitués sur la production sont immédiatement visibles. </w:t>
      </w:r>
    </w:p>
    <w:p w14:paraId="236023B7" w14:textId="77777777" w:rsidR="00D131F0" w:rsidRDefault="00D131F0" w:rsidP="00E74FA5"/>
    <w:p w14:paraId="7292686B" w14:textId="534F8BC8" w:rsidR="00E74FA5" w:rsidRDefault="00E74FA5" w:rsidP="00E74FA5">
      <w:r>
        <w:rPr>
          <w:b/>
        </w:rPr>
        <w:t>Un autre avantage :</w:t>
      </w:r>
      <w:r>
        <w:t xml:space="preserve"> vos lots de fabrication peuvent être transmis directement à la solution d'optimisation de la découpe de votre choix et être traités directement à partir de là. </w:t>
      </w:r>
    </w:p>
    <w:p w14:paraId="54BEF0EF" w14:textId="1F59915A" w:rsidR="00E74FA5" w:rsidRDefault="00E74FA5" w:rsidP="00E74FA5">
      <w:r>
        <w:t>Si vous travaillez avec le logiciel d'optimisation de la découpe intelliDivide Cutting ou Nesting, votre lot de fabrication est transmis directement par clic et l'optimisation démarre automatiquement sur demande, sans étape intermédiaire manuelle ni nouvelle ouverture de l'application intelliDivide.</w:t>
      </w:r>
    </w:p>
    <w:p w14:paraId="34E96BCD" w14:textId="3C055918" w:rsidR="113AC317" w:rsidRDefault="113AC317" w:rsidP="6DD2B47F">
      <w:r>
        <w:t>Travaillez avec Cut Rite ou une autre solution d'optimisation de la découpe ; vous pourrez ensuite exporter la liste des coupes au format CSV et l'importer facilement dans votre logiciel d'optimisation.</w:t>
      </w:r>
    </w:p>
    <w:p w14:paraId="2E5D41B8" w14:textId="77777777" w:rsidR="005135C7" w:rsidRDefault="005135C7" w:rsidP="6DD2B47F"/>
    <w:p w14:paraId="0F519029" w14:textId="40A98A1F" w:rsidR="00F2656D" w:rsidRPr="00860217" w:rsidRDefault="00860217" w:rsidP="004C1B1D">
      <w:pPr>
        <w:pStyle w:val="KeinLeerraum"/>
        <w:rPr>
          <w:rStyle w:val="Hyperlink"/>
          <w:b w:val="0"/>
        </w:rPr>
      </w:pPr>
      <w:r>
        <w:rPr>
          <w:b w:val="0"/>
          <w:sz w:val="22"/>
        </w:rPr>
        <w:fldChar w:fldCharType="begin"/>
      </w:r>
      <w:r>
        <w:rPr>
          <w:b w:val="0"/>
          <w:sz w:val="22"/>
        </w:rPr>
        <w:instrText>HYPERLINK "https://docs.homag.cloud/en/productionmanager/tutorial/lot-generation"</w:instrText>
      </w:r>
      <w:r>
        <w:rPr>
          <w:b w:val="0"/>
          <w:sz w:val="22"/>
        </w:rPr>
      </w:r>
      <w:r>
        <w:rPr>
          <w:b w:val="0"/>
          <w:sz w:val="22"/>
        </w:rPr>
        <w:fldChar w:fldCharType="separate"/>
      </w:r>
      <w:r w:rsidRPr="00860217">
        <w:rPr>
          <w:rStyle w:val="Hyperlink"/>
          <w:b w:val="0"/>
          <w:sz w:val="22"/>
        </w:rPr>
        <w:t>Pour savoir comment acquérir la nouvelle fonction de constitution de lots, cliquez ici.</w:t>
      </w:r>
      <w:r w:rsidRPr="00860217">
        <w:rPr>
          <w:rStyle w:val="Hyperlink"/>
          <w:b w:val="0"/>
        </w:rPr>
        <w:t xml:space="preserve"> </w:t>
      </w:r>
    </w:p>
    <w:p w14:paraId="0F51902A" w14:textId="685E373F" w:rsidR="00F2656D" w:rsidRPr="00D32679" w:rsidRDefault="00860217" w:rsidP="00F2656D">
      <w:pPr>
        <w:pStyle w:val="KeinLeerraum"/>
        <w:rPr>
          <w:b w:val="0"/>
        </w:rPr>
      </w:pPr>
      <w:r>
        <w:rPr>
          <w:b w:val="0"/>
          <w:sz w:val="22"/>
        </w:rPr>
        <w:fldChar w:fldCharType="end"/>
      </w:r>
    </w:p>
    <w:p w14:paraId="75083648" w14:textId="2665AC79" w:rsidR="00791609" w:rsidRDefault="00791609" w:rsidP="00F2656D">
      <w:pPr>
        <w:pStyle w:val="KeinLeerraum"/>
        <w:rPr>
          <w:b w:val="0"/>
        </w:rPr>
      </w:pPr>
    </w:p>
    <w:p w14:paraId="4996DB77" w14:textId="77777777" w:rsidR="0003325E" w:rsidRDefault="0003325E" w:rsidP="00F2656D">
      <w:pPr>
        <w:pStyle w:val="KeinLeerraum"/>
        <w:rPr>
          <w:b w:val="0"/>
        </w:rPr>
      </w:pPr>
    </w:p>
    <w:p w14:paraId="45ED16DA" w14:textId="77777777" w:rsidR="0003325E" w:rsidRDefault="0003325E" w:rsidP="00F2656D">
      <w:pPr>
        <w:pStyle w:val="KeinLeerraum"/>
        <w:rPr>
          <w:b w:val="0"/>
        </w:rPr>
      </w:pPr>
    </w:p>
    <w:p w14:paraId="5A34B307" w14:textId="77777777" w:rsidR="008E0A03" w:rsidRPr="00D32679" w:rsidRDefault="008E0A03" w:rsidP="00F2656D">
      <w:pPr>
        <w:pStyle w:val="KeinLeerraum"/>
        <w:rPr>
          <w:b w:val="0"/>
        </w:rPr>
      </w:pPr>
    </w:p>
    <w:p w14:paraId="604CD1A5" w14:textId="77777777" w:rsidR="00032F0A" w:rsidRDefault="00032F0A" w:rsidP="00F2656D">
      <w:pPr>
        <w:pStyle w:val="Titel"/>
      </w:pPr>
    </w:p>
    <w:p w14:paraId="32736F20" w14:textId="2AF6B9DD" w:rsidR="009B738E" w:rsidRDefault="002D135B" w:rsidP="009B738E">
      <w:r>
        <w:rPr>
          <w:noProof/>
        </w:rPr>
        <w:lastRenderedPageBreak/>
        <w:drawing>
          <wp:inline distT="0" distB="0" distL="0" distR="0" wp14:anchorId="5645111A" wp14:editId="44B1A9F1">
            <wp:extent cx="5400675" cy="3601085"/>
            <wp:effectExtent l="0" t="0" r="9525" b="0"/>
            <wp:docPr id="2" name="Grafik 2" descr="Ein Bild, das Im Haus, Computer, comput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Im Haus, Computer, computer, Tex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4157D9FB" w:rsidR="0003325E" w:rsidRPr="00D32679" w:rsidRDefault="0003325E" w:rsidP="0003325E">
      <w:pPr>
        <w:pStyle w:val="Titel"/>
      </w:pPr>
      <w:r>
        <w:t xml:space="preserve">Photo 1 : </w:t>
      </w:r>
      <w:r>
        <w:rPr>
          <w:b w:val="0"/>
        </w:rPr>
        <w:t>Dès maintenant dans productionManager : regrouper rapidement et intelligemment les commandes en lots de fabrication !</w:t>
      </w:r>
    </w:p>
    <w:p w14:paraId="00C3C2D2" w14:textId="77777777" w:rsidR="009B738E" w:rsidRDefault="009B738E" w:rsidP="009B738E"/>
    <w:p w14:paraId="24DDFED2" w14:textId="77777777" w:rsidR="004C1B1D" w:rsidRDefault="004C1B1D" w:rsidP="004C1B1D">
      <w:pPr>
        <w:pStyle w:val="KeinLeerraum"/>
      </w:pPr>
      <w:r>
        <w:t>Photos</w:t>
      </w:r>
    </w:p>
    <w:p w14:paraId="7385864B" w14:textId="77777777" w:rsidR="004C1B1D" w:rsidRDefault="004C1B1D" w:rsidP="004C1B1D">
      <w:pPr>
        <w:pStyle w:val="KeinLeerraum"/>
        <w:rPr>
          <w:b w:val="0"/>
        </w:rPr>
      </w:pPr>
      <w:r>
        <w:rPr>
          <w:b w:val="0"/>
        </w:rPr>
        <w:t>Source des photos :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Pour toute question, veuillez contacter :</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Homagstraße</w:t>
      </w:r>
      <w:proofErr w:type="spellEnd"/>
      <w:r>
        <w:t>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Allemagne</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Mme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Tél.</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6A30F" w14:textId="77777777" w:rsidR="002859FC" w:rsidRDefault="002859FC">
      <w:r>
        <w:separator/>
      </w:r>
    </w:p>
  </w:endnote>
  <w:endnote w:type="continuationSeparator" w:id="0">
    <w:p w14:paraId="778EE5DF" w14:textId="77777777" w:rsidR="002859FC" w:rsidRDefault="0028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Usage interne uniquement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6D8AD" w14:textId="77777777" w:rsidR="002859FC" w:rsidRDefault="002859FC">
      <w:r>
        <w:separator/>
      </w:r>
    </w:p>
  </w:footnote>
  <w:footnote w:type="continuationSeparator" w:id="0">
    <w:p w14:paraId="08FE8C3C" w14:textId="77777777" w:rsidR="002859FC" w:rsidRDefault="002859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Communiqué de presse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Numérisation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AAB6E6E"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r>
          <w:r w:rsidR="009E56EE">
            <w:rPr>
              <w:sz w:val="18"/>
            </w:rPr>
            <w:t>Juin</w:t>
          </w:r>
          <w:r>
            <w:rPr>
              <w:sz w:val="18"/>
            </w:rPr>
            <w:t>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1009AB"/>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76D19"/>
    <w:rsid w:val="002859FC"/>
    <w:rsid w:val="002878C1"/>
    <w:rsid w:val="0028798C"/>
    <w:rsid w:val="0029021C"/>
    <w:rsid w:val="002925D7"/>
    <w:rsid w:val="002977EE"/>
    <w:rsid w:val="002A0418"/>
    <w:rsid w:val="002A19F6"/>
    <w:rsid w:val="002A557A"/>
    <w:rsid w:val="002B117B"/>
    <w:rsid w:val="002D135B"/>
    <w:rsid w:val="002D61FC"/>
    <w:rsid w:val="002E1B81"/>
    <w:rsid w:val="002E311E"/>
    <w:rsid w:val="002E4150"/>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5506"/>
    <w:rsid w:val="00415721"/>
    <w:rsid w:val="004317D9"/>
    <w:rsid w:val="0043306C"/>
    <w:rsid w:val="004400EF"/>
    <w:rsid w:val="004401F4"/>
    <w:rsid w:val="004407DC"/>
    <w:rsid w:val="00443069"/>
    <w:rsid w:val="00445EF9"/>
    <w:rsid w:val="00450A48"/>
    <w:rsid w:val="00450BED"/>
    <w:rsid w:val="004605F6"/>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75DE"/>
    <w:rsid w:val="00547750"/>
    <w:rsid w:val="005527AE"/>
    <w:rsid w:val="00556591"/>
    <w:rsid w:val="00570C27"/>
    <w:rsid w:val="0057551E"/>
    <w:rsid w:val="00576B4F"/>
    <w:rsid w:val="0058077E"/>
    <w:rsid w:val="00581038"/>
    <w:rsid w:val="0058611D"/>
    <w:rsid w:val="0058634F"/>
    <w:rsid w:val="00591A1C"/>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0217"/>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E3CEE"/>
    <w:rsid w:val="009E56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22BB"/>
    <w:rsid w:val="00C16716"/>
    <w:rsid w:val="00C17557"/>
    <w:rsid w:val="00C21CA2"/>
    <w:rsid w:val="00C23A17"/>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 w:type="character" w:styleId="NichtaufgelsteErwhnung">
    <w:name w:val="Unresolved Mention"/>
    <w:basedOn w:val="Absatz-Standardschriftart"/>
    <w:uiPriority w:val="99"/>
    <w:semiHidden/>
    <w:unhideWhenUsed/>
    <w:rsid w:val="0003325E"/>
    <w:rPr>
      <w:color w:val="605E5C"/>
      <w:shd w:val="clear" w:color="auto" w:fill="E1DFDD"/>
    </w:rPr>
  </w:style>
  <w:style w:type="character" w:styleId="BesuchterLink">
    <w:name w:val="FollowedHyperlink"/>
    <w:basedOn w:val="Absatz-Standardschriftart"/>
    <w:uiPriority w:val="99"/>
    <w:semiHidden/>
    <w:unhideWhenUsed/>
    <w:rsid w:val="002D135B"/>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471</Words>
  <Characters>2763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72</cp:revision>
  <cp:lastPrinted>2018-02-22T10:43:00Z</cp:lastPrinted>
  <dcterms:created xsi:type="dcterms:W3CDTF">2024-05-23T06:56:00Z</dcterms:created>
  <dcterms:modified xsi:type="dcterms:W3CDTF">2024-06-11T06:18:00Z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