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Todos los pedidos a mano y adiós a los documentos en papel</w:t>
      </w:r>
    </w:p>
    <w:p w14:paraId="49BA71A7" w14:textId="2B489EB3" w:rsidR="00022EBB" w:rsidRPr="0017294E" w:rsidRDefault="005D7039" w:rsidP="00A50DAF">
      <w:pPr>
        <w:pStyle w:val="berschrift1"/>
      </w:pPr>
      <w:r>
        <w:t>La carpeta de trabajo digital aporta transparencia al taller</w:t>
      </w:r>
    </w:p>
    <w:p w14:paraId="1A233CAF" w14:textId="7E4CF633" w:rsidR="00064DC9" w:rsidRDefault="00E22279" w:rsidP="230E907C">
      <w:pPr>
        <w:rPr>
          <w:rFonts w:cs="Arial"/>
          <w:b/>
          <w:bCs/>
        </w:rPr>
      </w:pPr>
      <w:r>
        <w:rPr>
          <w:rFonts w:cs="Arial"/>
          <w:b/>
        </w:rPr>
        <w:t xml:space="preserve">Muchos carpinteros y ebanistas tienen sus libros de pedidos hasta arriba, por lo que llevar un seguimiento de los pedidos y mantener actualizada la información correspondiente de forma que todos los empleados puedan consultarla es una labor bastante complicada. Con la carpeta de trabajo digital, todo el personal tendrá acceso a cualquier información de cada pedido en tiempo real, independientemente de si la consultan mientras preparan el trabajo, durante la producción o en el montaje con los clientes. </w:t>
      </w:r>
      <w:r>
        <w:br/>
      </w:r>
      <w:r>
        <w:rPr>
          <w:rFonts w:cs="Arial"/>
          <w:b/>
        </w:rPr>
        <w:t>Pero eso no es todo: esta aplicación también permite que cualquier usuario pueda consultar fácilmente el estado actual de cada uno de los componentes. De esta manera, podrá llevar siempre un seguimiento del estado de sus pedidos. Cualquier persona que tenga un portátil o una tableta a mano podrá utilizar la aplicación web.</w:t>
      </w:r>
    </w:p>
    <w:p w14:paraId="686318DD" w14:textId="79EC3084" w:rsidR="0085315E" w:rsidRPr="0085315E" w:rsidRDefault="00A50DAF" w:rsidP="00AC5B57">
      <w:pPr>
        <w:pStyle w:val="berschrift2"/>
      </w:pPr>
      <w:r>
        <w:t>Los retos: gestionar grandes cantidades de datos e información y falta de transparencia</w:t>
      </w:r>
    </w:p>
    <w:p w14:paraId="7EFF53C9" w14:textId="45099D77" w:rsidR="0085315E" w:rsidRPr="0085315E" w:rsidRDefault="00EB47FF" w:rsidP="230E907C">
      <w:pPr>
        <w:rPr>
          <w:rFonts w:cs="Arial"/>
        </w:rPr>
      </w:pPr>
      <w:r>
        <w:rPr>
          <w:rFonts w:cs="Arial"/>
        </w:rPr>
        <w:t>En la actualidad, muchos carpinteros y ebanistas se enfrentan a problemas similares. La cantidad de información aumenta, pero ¿cómo se pueden utilizar diferentes fuentes de datos de manera integral y eficiente? ¿Cómo puede todo el personal mantenerse al día con los pedidos? ¿Cómo se puede llevar un seguimiento del estado de los pedidos en la sala de máquinas y de bancos?</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Las empresas del sector pyme todavía utilizan e imprimen una gran cantidad documentos en papel, como información sobre los pedidos, listas de piezas, información para el montaje, dibujos y planos de construcción. En algunos casos, se </w:t>
      </w:r>
      <w:r>
        <w:rPr>
          <w:rFonts w:cs="Arial"/>
        </w:rPr>
        <w:lastRenderedPageBreak/>
        <w:t>imprimen varias copias y se distribuyen entre los empleados. Además, la información sobre un trabajo también se suele guardar en diferentes programas y memorias de almacenamiento. Este problema puede evitarse en el futuro, ya que productionManager permite agrupar toda la información de un pedido de forma centralizada. La carpeta de trabajo digital permite a los carpinteros y ebanistas reunir toda la información relevante para la producción y evitar así utilizar numerosos documentos en papel en la fabricación.</w:t>
      </w:r>
    </w:p>
    <w:p w14:paraId="065FF2F7" w14:textId="72249A6D" w:rsidR="00944D8B" w:rsidRPr="00EB47FF" w:rsidRDefault="00944D8B" w:rsidP="00EB47FF">
      <w:pPr>
        <w:pStyle w:val="berschrift3"/>
        <w:rPr>
          <w:color w:val="00A0DC" w:themeColor="background2"/>
        </w:rPr>
      </w:pPr>
      <w:r>
        <w:rPr>
          <w:color w:val="00A0DC" w:themeColor="background2"/>
        </w:rPr>
        <w:t>Olvídese de los documentos en papel: toda la información está siempre actualizada</w:t>
      </w:r>
    </w:p>
    <w:p w14:paraId="009BE3C3" w14:textId="40ACFFF7" w:rsidR="00980A48" w:rsidRDefault="0617CE19" w:rsidP="20660C15">
      <w:pPr>
        <w:rPr>
          <w:rFonts w:cs="Arial"/>
        </w:rPr>
      </w:pPr>
      <w:r>
        <w:rPr>
          <w:rFonts w:cs="Arial"/>
        </w:rPr>
        <w:t>Al preparar el trabajo, el usuario puede importar todos los datos de un pedido desde cualquier sistema de software —como Excel, un software industrial o un sistema CAD/CAM— a la aplicación productionManager o crearlos directamente en la carpeta de trabajo digital. De esta manera, cualquier empleado que tenga un portátil o una tableta podrá acceder a la información, ya se trate de artículos, grupos o componentes, así como a sus dibujos y datos correspondientes. Además, la información se puede modificar rápidamente y los usuarios dispondrán de estos cambios de inmediato. También es posible introducir de forma sencilla dibujos, imágenes u otra información adicional en cada pedido.</w:t>
      </w:r>
    </w:p>
    <w:p w14:paraId="1663111A" w14:textId="031B90A4" w:rsidR="00944D8B" w:rsidRPr="00EB47FF" w:rsidRDefault="00202F52" w:rsidP="00EB47FF">
      <w:pPr>
        <w:pStyle w:val="berschrift3"/>
        <w:rPr>
          <w:color w:val="00A0DC" w:themeColor="background2"/>
        </w:rPr>
      </w:pPr>
      <w:r>
        <w:rPr>
          <w:color w:val="00A0DC" w:themeColor="background2"/>
        </w:rPr>
        <w:t>Transparencia total en el progreso del pedido</w:t>
      </w:r>
    </w:p>
    <w:p w14:paraId="01FAE552" w14:textId="53915BF3" w:rsidR="00202F52" w:rsidRDefault="14F2EA55" w:rsidP="20660C15">
      <w:pPr>
        <w:rPr>
          <w:rFonts w:cs="Arial"/>
        </w:rPr>
      </w:pPr>
      <w:r>
        <w:rPr>
          <w:rFonts w:cs="Arial"/>
        </w:rPr>
        <w:t>La carpeta de trabajo digital reúne toda la información relevante de un pedido en un solo lugar. Teniendo en cuenta que se trata de una aplicación web, los empleados de la industria del mecanizado de madera pueden acceder a ella desde cualquier lugar con acceso a Internet, ya sea en la oficina, en el taller o en una obra. Los empleados pueden acceder a todos los pedidos de forma totalmente transparente durante el montaje o la fabricación. Por ejemplo, pueden consultar una presentación del progreso del pedido en tiempo real o el estado de los artículos y los componentes para facilitar el seguimiento.</w:t>
      </w:r>
    </w:p>
    <w:p w14:paraId="3AA85278" w14:textId="0DED583A" w:rsidR="00C27076" w:rsidRDefault="361AE081" w:rsidP="20660C15">
      <w:r>
        <w:t>Además, el uso del asistente digital de introducción de comentarios productionAssist </w:t>
      </w:r>
      <w:proofErr w:type="spellStart"/>
      <w:r>
        <w:t>Feedback</w:t>
      </w:r>
      <w:proofErr w:type="spellEnd"/>
      <w:r>
        <w:t xml:space="preserve"> en la producción ofrece la posibilidad de determinar fácilmente las estaciones específicas del taller en las que deben introducirse comentarios sobre el estado actual de un componente o artículo individual. Los </w:t>
      </w:r>
      <w:r>
        <w:lastRenderedPageBreak/>
        <w:t>comentarios pueden introducirse en la aplicación por medio de un escáner (un escáner manual o una tableta) o mediante un clic en el asistente digital. Así, todo el personal puede saber dónde se ha mecanizado un componente o si se ha completado el montaje de un mueble en la sala de bancos, por ejemplo, lo que supone una gran ventaja. Los componentes y artículos ya mecanizados aparecen directamente en el progreso del pedido de productionManager.</w:t>
      </w:r>
    </w:p>
    <w:p w14:paraId="0FB9750A" w14:textId="069491C9" w:rsidR="003D53FB" w:rsidRDefault="00EA4210" w:rsidP="00F91D4D">
      <w:pPr>
        <w:pStyle w:val="berschrift3"/>
        <w:rPr>
          <w:bCs/>
          <w:color w:val="00A0DC" w:themeColor="background2"/>
        </w:rPr>
      </w:pPr>
      <w:r>
        <w:rPr>
          <w:color w:val="00A0DC" w:themeColor="background2"/>
        </w:rPr>
        <w:t>La información de los comentarios de la máquina aumenta aún más la transparencia</w:t>
      </w:r>
    </w:p>
    <w:p w14:paraId="515FBBE7" w14:textId="5E932C55" w:rsidR="00EA4210" w:rsidRPr="00855B40" w:rsidRDefault="014A9A3A" w:rsidP="00EA4210">
      <w:r>
        <w:t>La información de los componentes y los artículos de un pedido se notifica a través del asistente digital de introducción de comentarios de productionManager mediante una tableta y directamente a través de su máquina de HOMAG: unas interfaces compatibles entre sí se encargan de la comunicación entre la máquina y productionManager. Tras el mecanizado de los componentes y los artículos, la máquina comunica directamente que el proceso ha finalizado, sin necesidad de intervenir manualmente ni realizar pasos intermedios adicionales mediante una tableta o un escáner manual. La información de los comentarios de la máquina se muestra inmediatamente en el progreso del pedido de la carpeta de trabajo digital. De este modo, podrá ver qué artículos y componentes se han marcado como "mecanizado completado" y desde qué máquina.</w:t>
      </w:r>
    </w:p>
    <w:p w14:paraId="1A509168" w14:textId="618BE60F" w:rsidR="00EA4210" w:rsidRDefault="32E9266E" w:rsidP="20660C15">
      <w:pPr>
        <w:pStyle w:val="berschrift3"/>
        <w:rPr>
          <w:color w:val="00A0DC" w:themeColor="accent2"/>
        </w:rPr>
      </w:pPr>
      <w:r>
        <w:rPr>
          <w:color w:val="00A0DC" w:themeColor="accent2"/>
        </w:rPr>
        <w:t xml:space="preserve">Consulta de cualquier pedido en todo momento </w:t>
      </w:r>
    </w:p>
    <w:p w14:paraId="63C989BD" w14:textId="2FB388CC" w:rsidR="00EA4210" w:rsidRDefault="32E9266E" w:rsidP="00A000E1">
      <w:r>
        <w:t xml:space="preserve">La gestión de pedidos de productionManager ofrece una representación clara de los pedidos y garantiza una visualización rápida y sencilla de los detalles del pedido. Además, se muestra directamente el estado del pedido de cada componente o artículo. </w:t>
      </w:r>
    </w:p>
    <w:p w14:paraId="328318F7" w14:textId="53F393CC" w:rsidR="00EA4210" w:rsidRDefault="32E9266E" w:rsidP="00A000E1">
      <w:r>
        <w:t xml:space="preserve">Para mejorar aún más la visibilidad de sus pedidos, puede consultar el archivo de pedidos, que se encuentra en el área de navegación de productionManager. Podrá mover uno o varios pedidos de la gestión de pedidos al archivo de pedidos con tan solo unos clics. Toda la información de su pedido, incluida la información de la producción, se archiva y se encuentra disponible en todo momento, de forma que cualquier empleado pueda consultarla. De este modo, la gestión de pedidos se vuelve más clara, ya que, por ejemplo, los pedidos completados se eliminan de esta vista y se </w:t>
      </w:r>
      <w:r>
        <w:lastRenderedPageBreak/>
        <w:t>almacenan en el archivo de pedidos.</w:t>
      </w:r>
    </w:p>
    <w:p w14:paraId="0B22F2BA" w14:textId="63DBC498" w:rsidR="00D331BD" w:rsidRPr="008E651A" w:rsidRDefault="32E9266E" w:rsidP="20660C15">
      <w:r>
        <w:t>Además, puede volver a producir pedidos completos o piezas individuales en aquellos casos en los que sea necesario volver a realizar un mecanizado. Para ello, tan solo hay que copiar el pedido seleccionado del archivo, que queda listo para poder volver a editarlo.</w:t>
      </w:r>
    </w:p>
    <w:p w14:paraId="755DDF99" w14:textId="3E49C9E1" w:rsidR="00EB47FF" w:rsidRPr="00EB47FF" w:rsidRDefault="00944D8B" w:rsidP="00EB47FF">
      <w:pPr>
        <w:pStyle w:val="berschrift3"/>
        <w:rPr>
          <w:color w:val="00A0DC" w:themeColor="background2"/>
        </w:rPr>
      </w:pPr>
      <w:r>
        <w:rPr>
          <w:color w:val="00A0DC" w:themeColor="background2"/>
        </w:rPr>
        <w:t>Uso versátil en cualquier taller</w:t>
      </w:r>
    </w:p>
    <w:p w14:paraId="08EB7444" w14:textId="02EE47E9" w:rsidR="00944D8B" w:rsidRPr="00C419A7" w:rsidRDefault="215A7360" w:rsidP="20660C15">
      <w:pPr>
        <w:rPr>
          <w:rFonts w:cs="Arial"/>
        </w:rPr>
      </w:pPr>
      <w:r>
        <w:rPr>
          <w:rFonts w:cs="Arial"/>
        </w:rPr>
        <w:t xml:space="preserve">La carpeta de trabajo digital se puede integrar en cualquier entorno de taller existente sin problemas. No es necesario realizar grandes ajustes en el entorno del software ni en el parque de maquinaria. En la mayoría de </w:t>
      </w:r>
      <w:proofErr w:type="gramStart"/>
      <w:r>
        <w:rPr>
          <w:rFonts w:cs="Arial"/>
        </w:rPr>
        <w:t>casos</w:t>
      </w:r>
      <w:proofErr w:type="gramEnd"/>
      <w:r>
        <w:rPr>
          <w:rFonts w:cs="Arial"/>
        </w:rPr>
        <w:t xml:space="preserve">, los parques de maquinaria están formados por equipos de diferentes fabricantes, pero esto tampoco supone un obstáculo para el uso de este software. </w:t>
      </w:r>
    </w:p>
    <w:p w14:paraId="5A41CEEC" w14:textId="77777777" w:rsidR="007A7C9C" w:rsidRPr="00AC5B57" w:rsidRDefault="00944D8B" w:rsidP="00AC5B57">
      <w:pPr>
        <w:pStyle w:val="berschrift3"/>
        <w:rPr>
          <w:color w:val="00A0DC" w:themeColor="background2"/>
        </w:rPr>
      </w:pPr>
      <w:r>
        <w:rPr>
          <w:color w:val="00A0DC" w:themeColor="background2"/>
        </w:rPr>
        <w:t>Rentabilidad: sin gastos de mantenimiento ni costes de inversión o de actualización</w:t>
      </w:r>
    </w:p>
    <w:p w14:paraId="4506BCA4" w14:textId="1593D201" w:rsidR="00C419A7" w:rsidRDefault="07E7232A" w:rsidP="230E907C">
      <w:pPr>
        <w:rPr>
          <w:rFonts w:cs="Arial"/>
        </w:rPr>
      </w:pPr>
      <w:r>
        <w:rPr>
          <w:rFonts w:cs="Arial"/>
        </w:rPr>
        <w:t>El uso de la aplicación productionManager no supone ningún coste adicional, se puede facturar mensual o anualmente y se puede cancelar en cualquier momento dentro de estos periodos. Este software web ofrece una serie de ventajas, ya que siempre está actualizado, no requiere ningún entorno de servidor y no hay que preocuparse por las actualizaciones.</w:t>
      </w:r>
    </w:p>
    <w:p w14:paraId="7F99360E" w14:textId="0E44F304" w:rsidR="00381C6A" w:rsidRPr="00381C6A" w:rsidRDefault="00D91776" w:rsidP="00AC5B57">
      <w:pPr>
        <w:pStyle w:val="berschrift2"/>
      </w:pPr>
      <w:r>
        <w:t>El nexo de comunicación entre las aplicaciones de HOMAG</w:t>
      </w:r>
    </w:p>
    <w:p w14:paraId="522CF3BE" w14:textId="7728C18C" w:rsidR="00AF1838" w:rsidRDefault="00AF1838" w:rsidP="0012271A">
      <w:pPr>
        <w:rPr>
          <w:rFonts w:cs="Arial"/>
          <w:szCs w:val="22"/>
        </w:rPr>
      </w:pPr>
      <w:r>
        <w:rPr>
          <w:rFonts w:cs="Arial"/>
        </w:rPr>
        <w:t>Si las empresas ya utilizan otras aplicaciones o asistentes digitales de HOMAG, podrán disfrutar de diversas ventajas adicionales, ya que las interfaces de productionManager y las aplicaciones de HOMAG son compatibles entre sí. productionManager actúa en muchos puntos como aplicación central en segundo plano y garantiza que la información correcta aparezca en el lugar adecuado en el taller y durante la preparación del trabajo.</w:t>
      </w:r>
    </w:p>
    <w:p w14:paraId="7D4BFDF6" w14:textId="7E0CED8A" w:rsidR="00123E59" w:rsidRDefault="00123E59" w:rsidP="230E907C">
      <w:pPr>
        <w:numPr>
          <w:ilvl w:val="0"/>
          <w:numId w:val="42"/>
        </w:numPr>
        <w:rPr>
          <w:rFonts w:cs="Arial"/>
        </w:rPr>
      </w:pPr>
      <w:r>
        <w:rPr>
          <w:rFonts w:cs="Arial"/>
        </w:rPr>
        <w:t xml:space="preserve">Si se utiliza el software de optimización intelliDivide para cortar o realizar procesos de </w:t>
      </w:r>
      <w:proofErr w:type="spellStart"/>
      <w:r>
        <w:rPr>
          <w:rFonts w:cs="Arial"/>
        </w:rPr>
        <w:t>nesting</w:t>
      </w:r>
      <w:proofErr w:type="spellEnd"/>
      <w:r>
        <w:rPr>
          <w:rFonts w:cs="Arial"/>
        </w:rPr>
        <w:t xml:space="preserve">, se pueden transferir las piezas directamente a intelliDivide para realizar el corte. De forma alternativa, la lista de piezas también se puede </w:t>
      </w:r>
      <w:r>
        <w:rPr>
          <w:rFonts w:cs="Arial"/>
        </w:rPr>
        <w:lastRenderedPageBreak/>
        <w:t xml:space="preserve">exportar a </w:t>
      </w:r>
      <w:proofErr w:type="spellStart"/>
      <w:r>
        <w:rPr>
          <w:rFonts w:cs="Arial"/>
        </w:rPr>
        <w:t>Cut</w:t>
      </w:r>
      <w:proofErr w:type="spellEnd"/>
      <w:r>
        <w:rPr>
          <w:rFonts w:cs="Arial"/>
        </w:rPr>
        <w:t> Rite o cualquier otro software de optimización.</w:t>
      </w:r>
    </w:p>
    <w:p w14:paraId="31FA7345" w14:textId="5D65F248" w:rsidR="001D2180" w:rsidRDefault="001D2180" w:rsidP="230E907C">
      <w:pPr>
        <w:numPr>
          <w:ilvl w:val="0"/>
          <w:numId w:val="42"/>
        </w:numPr>
        <w:rPr>
          <w:rFonts w:cs="Arial"/>
        </w:rPr>
      </w:pPr>
      <w:r>
        <w:rPr>
          <w:rFonts w:cs="Arial"/>
        </w:rPr>
        <w:t>Si se utiliza la aplicación materialManager para gestionar materiales de tablero y de canto, productionManager también utilizará estos datos.</w:t>
      </w:r>
    </w:p>
    <w:p w14:paraId="42C86F67" w14:textId="2BC69B81" w:rsidR="00A7494F" w:rsidRDefault="00A50DAF" w:rsidP="00A7494F">
      <w:pPr>
        <w:numPr>
          <w:ilvl w:val="0"/>
          <w:numId w:val="42"/>
        </w:numPr>
        <w:rPr>
          <w:rFonts w:cs="Arial"/>
        </w:rPr>
      </w:pPr>
      <w:r>
        <w:rPr>
          <w:rFonts w:cs="Arial"/>
        </w:rPr>
        <w:t xml:space="preserve">En caso de usar el asistente de corte "juego </w:t>
      </w:r>
      <w:proofErr w:type="spellStart"/>
      <w:r>
        <w:rPr>
          <w:rFonts w:cs="Arial"/>
        </w:rPr>
        <w:t>Cutting</w:t>
      </w:r>
      <w:proofErr w:type="spellEnd"/>
      <w:r>
        <w:rPr>
          <w:rFonts w:cs="Arial"/>
        </w:rPr>
        <w:t xml:space="preserve"> </w:t>
      </w:r>
      <w:proofErr w:type="spellStart"/>
      <w:r>
        <w:rPr>
          <w:rFonts w:cs="Arial"/>
        </w:rPr>
        <w:t>Production</w:t>
      </w:r>
      <w:proofErr w:type="spellEnd"/>
      <w:r>
        <w:rPr>
          <w:rFonts w:cs="Arial"/>
        </w:rPr>
        <w:t xml:space="preserve">", el asistente de </w:t>
      </w:r>
      <w:proofErr w:type="spellStart"/>
      <w:r>
        <w:rPr>
          <w:rFonts w:cs="Arial"/>
        </w:rPr>
        <w:t>nesting</w:t>
      </w:r>
      <w:proofErr w:type="spellEnd"/>
      <w:r>
        <w:rPr>
          <w:rFonts w:cs="Arial"/>
        </w:rPr>
        <w:t xml:space="preserve"> "juego Nesting </w:t>
      </w:r>
      <w:proofErr w:type="spellStart"/>
      <w:r>
        <w:rPr>
          <w:rFonts w:cs="Arial"/>
        </w:rPr>
        <w:t>Production</w:t>
      </w:r>
      <w:proofErr w:type="spellEnd"/>
      <w:r>
        <w:rPr>
          <w:rFonts w:cs="Arial"/>
        </w:rPr>
        <w:t xml:space="preserve">" o el asistente de clasificación "juego </w:t>
      </w:r>
      <w:proofErr w:type="spellStart"/>
      <w:r>
        <w:rPr>
          <w:rFonts w:cs="Arial"/>
        </w:rPr>
        <w:t>Sorting</w:t>
      </w:r>
      <w:proofErr w:type="spellEnd"/>
      <w:r>
        <w:rPr>
          <w:rFonts w:cs="Arial"/>
        </w:rPr>
        <w:t xml:space="preserve"> </w:t>
      </w:r>
      <w:proofErr w:type="spellStart"/>
      <w:r>
        <w:rPr>
          <w:rFonts w:cs="Arial"/>
        </w:rPr>
        <w:t>Assistent</w:t>
      </w:r>
      <w:proofErr w:type="spellEnd"/>
      <w:r>
        <w:rPr>
          <w:rFonts w:cs="Arial"/>
        </w:rPr>
        <w:t xml:space="preserve">" en los puestos de trabajo de un taller de carpintería, el usuario puede transferir información a estos puestos de trabajo, que informan automáticamente del progreso del mecanizado directamente a productionManager durante la fabricación.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 xml:space="preserve">Por otra parte, HOMAG también ha desarrollado interfaces adecuadas con diversos socios de software externos. De esta forma, el software de HOMAG, al combinarse con imos iX, SWOOD, SmartWOP o los sistemas ERP </w:t>
      </w:r>
      <w:proofErr w:type="spellStart"/>
      <w:r>
        <w:rPr>
          <w:rFonts w:cs="Arial"/>
        </w:rPr>
        <w:t>Borm</w:t>
      </w:r>
      <w:proofErr w:type="spellEnd"/>
      <w:r>
        <w:rPr>
          <w:rFonts w:cs="Arial"/>
        </w:rPr>
        <w:t>, muestra lo sencillo e impecable que puede ser el intercambio de datos entre distintos sistemas. Si el intercambio de datos entre soluciones de software de diferentes fabricantes se realiza de forma completamente automatizada en segundo plano, el usuario puede disfrutar en la práctica de una solución integral y ágil en un solo entorno.</w:t>
      </w:r>
    </w:p>
    <w:p w14:paraId="01105D66" w14:textId="77777777" w:rsidR="008E651A" w:rsidRDefault="008E651A" w:rsidP="00A7494F">
      <w:pPr>
        <w:rPr>
          <w:rFonts w:cs="Arial"/>
          <w:szCs w:val="22"/>
        </w:rPr>
      </w:pPr>
    </w:p>
    <w:p w14:paraId="6AD3B174" w14:textId="77777777" w:rsidR="008E651A" w:rsidRDefault="008E651A" w:rsidP="00A7494F">
      <w:pPr>
        <w:rPr>
          <w:rFonts w:cs="Arial"/>
          <w:szCs w:val="22"/>
        </w:rPr>
      </w:pPr>
    </w:p>
    <w:p w14:paraId="2F8A209D" w14:textId="77777777" w:rsidR="008E651A" w:rsidRDefault="008E651A" w:rsidP="00A7494F">
      <w:pPr>
        <w:rPr>
          <w:rFonts w:cs="Arial"/>
          <w:szCs w:val="22"/>
        </w:rPr>
      </w:pPr>
    </w:p>
    <w:p w14:paraId="0B05FF8F" w14:textId="77777777" w:rsidR="008E651A" w:rsidRDefault="008E651A" w:rsidP="00A7494F">
      <w:pPr>
        <w:rPr>
          <w:rFonts w:cs="Arial"/>
          <w:szCs w:val="22"/>
        </w:rPr>
      </w:pPr>
    </w:p>
    <w:p w14:paraId="5DE2B573" w14:textId="77777777" w:rsidR="008E651A" w:rsidRDefault="008E651A" w:rsidP="00A7494F">
      <w:pPr>
        <w:rPr>
          <w:rFonts w:cs="Arial"/>
          <w:szCs w:val="22"/>
        </w:rPr>
      </w:pPr>
    </w:p>
    <w:p w14:paraId="0EB4613E" w14:textId="77777777" w:rsidR="008E651A" w:rsidRDefault="008E651A" w:rsidP="00A7494F">
      <w:pPr>
        <w:rPr>
          <w:rFonts w:cs="Arial"/>
          <w:szCs w:val="22"/>
        </w:rPr>
      </w:pPr>
    </w:p>
    <w:p w14:paraId="4E2607B6" w14:textId="77777777" w:rsidR="008E651A" w:rsidRDefault="008E651A" w:rsidP="00A7494F">
      <w:pPr>
        <w:rPr>
          <w:rFonts w:cs="Arial"/>
          <w:szCs w:val="22"/>
        </w:rPr>
      </w:pPr>
    </w:p>
    <w:p w14:paraId="16DDD9BD" w14:textId="77777777" w:rsidR="008E651A" w:rsidRDefault="008E651A" w:rsidP="00A7494F">
      <w:pPr>
        <w:rPr>
          <w:rFonts w:cs="Arial"/>
          <w:szCs w:val="22"/>
        </w:rPr>
      </w:pPr>
    </w:p>
    <w:p w14:paraId="33C604F3" w14:textId="77777777" w:rsidR="008E651A" w:rsidRDefault="008E651A" w:rsidP="00A7494F">
      <w:pPr>
        <w:rPr>
          <w:rFonts w:cs="Arial"/>
          <w:szCs w:val="22"/>
        </w:rPr>
      </w:pPr>
    </w:p>
    <w:p w14:paraId="1D3A6291"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3574D725" w:rsidR="0012215A" w:rsidRDefault="00066397" w:rsidP="20660C15">
      <w:pPr>
        <w:rPr>
          <w:rFonts w:cs="Arial"/>
        </w:rPr>
      </w:pPr>
      <w:r>
        <w:rPr>
          <w:rFonts w:cs="Arial"/>
          <w:noProof/>
        </w:rPr>
        <w:lastRenderedPageBreak/>
        <w:drawing>
          <wp:inline distT="0" distB="0" distL="0" distR="0" wp14:anchorId="5E6E83FD" wp14:editId="2FF4A42A">
            <wp:extent cx="6120766" cy="4080510"/>
            <wp:effectExtent l="0" t="0" r="0" b="0"/>
            <wp:docPr id="1" name="Grafik 1" descr="Ein Bild, das Text, computer,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0781" cy="4080520"/>
                    </a:xfrm>
                    <a:prstGeom prst="rect">
                      <a:avLst/>
                    </a:prstGeom>
                  </pic:spPr>
                </pic:pic>
              </a:graphicData>
            </a:graphic>
          </wp:inline>
        </w:drawing>
      </w:r>
    </w:p>
    <w:p w14:paraId="18AAE2DE" w14:textId="12AA165B" w:rsidR="0012215A" w:rsidRDefault="0012215A" w:rsidP="0012215A">
      <w:pPr>
        <w:pStyle w:val="Titel"/>
        <w:rPr>
          <w:b w:val="0"/>
          <w:bCs/>
        </w:rPr>
      </w:pPr>
      <w:r>
        <w:t xml:space="preserve">Imagen: </w:t>
      </w:r>
      <w:r>
        <w:rPr>
          <w:b w:val="0"/>
        </w:rPr>
        <w:t>Con la carpeta de trabajo digital, todo el personal tendrá acceso a cualquier información de cada pedido en tiempo real, independientemente de si la consultan mientras preparan el trabajo, durante la producción o en el montaje con los clientes.</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Imágenes</w:t>
      </w:r>
    </w:p>
    <w:p w14:paraId="0F519029" w14:textId="444B9072" w:rsidR="00F2656D" w:rsidRDefault="00F2656D" w:rsidP="00F2656D">
      <w:pPr>
        <w:pStyle w:val="KeinLeerraum"/>
        <w:rPr>
          <w:b w:val="0"/>
        </w:rPr>
      </w:pPr>
      <w:r>
        <w:rPr>
          <w:b w:val="0"/>
        </w:rPr>
        <w:t>Fuente de las imágenes: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Si tiene preguntas, diríjase a:</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(Alemania)</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Sra. Dejana Stevic</w:t>
      </w:r>
    </w:p>
    <w:p w14:paraId="32D91983" w14:textId="77777777" w:rsidR="00461A47" w:rsidRPr="00D743CB" w:rsidRDefault="00461A47" w:rsidP="00461A47">
      <w:pPr>
        <w:pStyle w:val="Untertitel"/>
      </w:pPr>
      <w:r>
        <w:rPr>
          <w:rFonts w:eastAsia="Times New Roman" w:cs="Arial"/>
          <w:color w:val="000001"/>
        </w:rPr>
        <w:t xml:space="preserve">Digital </w:t>
      </w:r>
      <w:proofErr w:type="spellStart"/>
      <w:r>
        <w:rPr>
          <w:rFonts w:eastAsia="Times New Roman" w:cs="Arial"/>
          <w:color w:val="000001"/>
        </w:rPr>
        <w:t>Product</w:t>
      </w:r>
      <w:proofErr w:type="spellEnd"/>
      <w:r>
        <w:rPr>
          <w:rFonts w:eastAsia="Times New Roman" w:cs="Arial"/>
          <w:color w:val="000001"/>
        </w:rPr>
        <w:t xml:space="preserve"> </w:t>
      </w:r>
      <w:proofErr w:type="spellStart"/>
      <w:r>
        <w:rPr>
          <w:rFonts w:eastAsia="Times New Roman" w:cs="Arial"/>
          <w:color w:val="000001"/>
        </w:rPr>
        <w:t>Innovation</w:t>
      </w:r>
      <w:proofErr w:type="spellEnd"/>
    </w:p>
    <w:p w14:paraId="4DB479CD" w14:textId="77777777" w:rsidR="00461A47" w:rsidRPr="00446974" w:rsidRDefault="00461A47" w:rsidP="00461A47">
      <w:pPr>
        <w:pStyle w:val="Untertitel"/>
      </w:pPr>
      <w:r>
        <w:t>Tel.</w:t>
      </w:r>
      <w:r>
        <w:tab/>
        <w:t> +49 173 4927083</w:t>
      </w:r>
    </w:p>
    <w:p w14:paraId="1FB184B1" w14:textId="77777777" w:rsidR="00461A47" w:rsidRPr="00446974" w:rsidRDefault="00461A47" w:rsidP="00461A47">
      <w:pPr>
        <w:pStyle w:val="Untertitel"/>
      </w:pPr>
      <w:r>
        <w:lastRenderedPageBreak/>
        <w:t>dejana.stevic@homag.com</w:t>
      </w:r>
    </w:p>
    <w:p w14:paraId="0F519049" w14:textId="103D4576" w:rsidR="00481597" w:rsidRPr="001A6168" w:rsidRDefault="00481597" w:rsidP="30F7D1F0">
      <w:pPr>
        <w:pStyle w:val="Untertitel"/>
        <w:rPr>
          <w:rStyle w:val="Hyperlink"/>
          <w:rFonts w:eastAsia="Times New Roman" w:cs="Arial"/>
          <w:noProof/>
          <w:color w:val="000001"/>
          <w:lang w:val="en-US"/>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Digitalización</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Abril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66397"/>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1325</Words>
  <Characters>8352</Characters>
  <Application>Microsoft Office Word</Application>
  <DocSecurity>0</DocSecurity>
  <Lines>69</Lines>
  <Paragraphs>19</Paragraphs>
  <ScaleCrop>false</ScaleCrop>
  <Company>HOMAG Maschinenbau AG</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