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3EC5B3D" w:rsidR="00181328" w:rsidRPr="005E1DD1" w:rsidRDefault="00D449AC" w:rsidP="00F2656D">
      <w:pPr>
        <w:pStyle w:val="berschrift3"/>
      </w:pPr>
      <w:r>
        <w:t>Toutes les commandes en un coup d'œil</w:t>
      </w:r>
    </w:p>
    <w:p w14:paraId="0F51901D" w14:textId="39EE6E94" w:rsidR="0066716B" w:rsidRPr="005E1DD1" w:rsidRDefault="00F02F94" w:rsidP="00C45AD8">
      <w:pPr>
        <w:pStyle w:val="berschrift1"/>
      </w:pPr>
      <w:r>
        <w:t>Plus de clarté : archivage des commandes disponible dans productionManager !</w:t>
      </w:r>
    </w:p>
    <w:p w14:paraId="2A440D9E" w14:textId="647CC4CD" w:rsidR="00943181" w:rsidRPr="005E1DD1" w:rsidRDefault="005A0E49" w:rsidP="00C16716">
      <w:pPr>
        <w:rPr>
          <w:b/>
        </w:rPr>
      </w:pPr>
      <w:proofErr w:type="gramStart"/>
      <w:r>
        <w:rPr>
          <w:b/>
        </w:rPr>
        <w:t>productionManager</w:t>
      </w:r>
      <w:proofErr w:type="gramEnd"/>
      <w:r>
        <w:rPr>
          <w:b/>
        </w:rPr>
        <w:t>, le dossier de commande numérique, vous permet non seulement une gestion claire des commandes ainsi qu'une vue transparente sur leur progression, mais vous offre également la possibilité d'archiver rapidement et facilement vos commandes.</w:t>
      </w:r>
    </w:p>
    <w:p w14:paraId="0F519021" w14:textId="7D59AEB2" w:rsidR="0066716B" w:rsidRDefault="00F02F94" w:rsidP="00F2656D">
      <w:pPr>
        <w:pStyle w:val="berschrift2"/>
      </w:pPr>
      <w:r>
        <w:t>Le dossier de commande numérique archive vos commandes</w:t>
      </w:r>
    </w:p>
    <w:p w14:paraId="31C57B75" w14:textId="176D28A7" w:rsidR="003918BB" w:rsidRDefault="00144B61" w:rsidP="001D52FA">
      <w:r>
        <w:t>Afin d'avoir un aperçu optimal de vos commandes, vous trouverez l'archivage des commandes dans la zone de navigation du productionManager. En quelques clics, vous pouvez déplacer une ou plusieurs commandes de la gestion des commandes vers l'archivage. Toutes les informations relatives à votre commande, y compris celles provenant de la production, sont archivées et disponibles à tout moment et sont consultables par chaque collaborateur. La gestion des commandes est ainsi plus claire : par exemple, les commandes terminées n'apparaissent plus dans cette vue et sont placées dans l'archivage des commandes.</w:t>
      </w:r>
    </w:p>
    <w:p w14:paraId="4017F599" w14:textId="23C7C10B" w:rsidR="005E61DC" w:rsidRDefault="00EF6341" w:rsidP="001D52FA">
      <w:r>
        <w:t>Vous pouvez également produire à nouveau des commandes entières ou des pièces individuelles, notamment si une post-production est nécessaire. Il suffit de copier la commande sélectionnée depuis l'archivage et de simplement la traiter à nouveau !</w:t>
      </w:r>
    </w:p>
    <w:p w14:paraId="77C09585" w14:textId="77777777" w:rsidR="00713AAF" w:rsidRPr="00713AAF" w:rsidRDefault="00713AAF" w:rsidP="00713AAF"/>
    <w:p w14:paraId="0F519029" w14:textId="651B9572" w:rsidR="00F2656D" w:rsidRDefault="00D65A21" w:rsidP="001A5E37">
      <w:pPr>
        <w:pStyle w:val="KeinLeerraum"/>
        <w:rPr>
          <w:b w:val="0"/>
        </w:rPr>
      </w:pPr>
      <w:r>
        <w:br w:type="page"/>
      </w:r>
    </w:p>
    <w:p w14:paraId="0F51902A" w14:textId="56CCDC62" w:rsidR="00F2656D" w:rsidRDefault="00BB73BB" w:rsidP="00F2656D">
      <w:pPr>
        <w:pStyle w:val="KeinLeerraum"/>
        <w:rPr>
          <w:b w:val="0"/>
        </w:rPr>
      </w:pPr>
      <w:r>
        <w:rPr>
          <w:b w:val="0"/>
          <w:noProof/>
        </w:rPr>
        <w:lastRenderedPageBreak/>
        <w:drawing>
          <wp:inline distT="0" distB="0" distL="0" distR="0" wp14:anchorId="0C2F7EE3" wp14:editId="3D3F813E">
            <wp:extent cx="6067426" cy="4049944"/>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78422" cy="4057284"/>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Photo 1 :</w:t>
      </w:r>
    </w:p>
    <w:p w14:paraId="0F519031" w14:textId="0DC3299A" w:rsidR="00B57FAC" w:rsidRPr="00F2656D" w:rsidRDefault="00E75201" w:rsidP="00F2656D">
      <w:pPr>
        <w:pStyle w:val="Titel"/>
        <w:rPr>
          <w:b w:val="0"/>
          <w:szCs w:val="22"/>
        </w:rPr>
      </w:pPr>
      <w:r>
        <w:rPr>
          <w:b w:val="0"/>
        </w:rPr>
        <w:t>Archivage des commandes dans productionManager (dossier de commande numérique)</w:t>
      </w:r>
    </w:p>
    <w:p w14:paraId="0F519032" w14:textId="77777777" w:rsidR="00B57FAC" w:rsidRPr="001234BA" w:rsidRDefault="00B57FAC" w:rsidP="00F2656D">
      <w:pPr>
        <w:pStyle w:val="Titel"/>
      </w:pPr>
    </w:p>
    <w:p w14:paraId="3D4DE495" w14:textId="77777777" w:rsidR="001A5E37" w:rsidRDefault="001A5E37" w:rsidP="001A5E37">
      <w:pPr>
        <w:pStyle w:val="KeinLeerraum"/>
      </w:pPr>
      <w:r>
        <w:t>Photos</w:t>
      </w:r>
    </w:p>
    <w:p w14:paraId="704709D5" w14:textId="77777777" w:rsidR="001A5E37" w:rsidRDefault="001A5E37" w:rsidP="001A5E37">
      <w:pPr>
        <w:pStyle w:val="KeinLeerraum"/>
        <w:rPr>
          <w:b w:val="0"/>
        </w:rPr>
      </w:pPr>
      <w:r>
        <w:rPr>
          <w:b w:val="0"/>
        </w:rPr>
        <w:t>Source des photos :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Mme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Tél.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06D0" w14:textId="77777777" w:rsidR="009F7BA2" w:rsidRDefault="009F7BA2">
      <w:r>
        <w:separator/>
      </w:r>
    </w:p>
  </w:endnote>
  <w:endnote w:type="continuationSeparator" w:id="0">
    <w:p w14:paraId="66292CAC" w14:textId="77777777" w:rsidR="009F7BA2" w:rsidRDefault="009F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D01" w14:textId="77777777" w:rsidR="009F7BA2" w:rsidRDefault="009F7BA2">
      <w:r>
        <w:separator/>
      </w:r>
    </w:p>
  </w:footnote>
  <w:footnote w:type="continuationSeparator" w:id="0">
    <w:p w14:paraId="52FAAEF0" w14:textId="77777777" w:rsidR="009F7BA2" w:rsidRDefault="009F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09BD5E5"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Janvier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5"/>
  </w:num>
  <w:num w:numId="4">
    <w:abstractNumId w:val="9"/>
  </w:num>
  <w:num w:numId="5">
    <w:abstractNumId w:val="29"/>
  </w:num>
  <w:num w:numId="6">
    <w:abstractNumId w:val="17"/>
  </w:num>
  <w:num w:numId="7">
    <w:abstractNumId w:val="18"/>
  </w:num>
  <w:num w:numId="8">
    <w:abstractNumId w:val="21"/>
  </w:num>
  <w:num w:numId="9">
    <w:abstractNumId w:val="22"/>
  </w:num>
  <w:num w:numId="10">
    <w:abstractNumId w:val="30"/>
  </w:num>
  <w:num w:numId="11">
    <w:abstractNumId w:val="28"/>
  </w:num>
  <w:num w:numId="12">
    <w:abstractNumId w:val="5"/>
  </w:num>
  <w:num w:numId="13">
    <w:abstractNumId w:val="19"/>
  </w:num>
  <w:num w:numId="14">
    <w:abstractNumId w:val="7"/>
  </w:num>
  <w:num w:numId="15">
    <w:abstractNumId w:val="6"/>
  </w:num>
  <w:num w:numId="16">
    <w:abstractNumId w:val="8"/>
  </w:num>
  <w:num w:numId="17">
    <w:abstractNumId w:val="31"/>
  </w:num>
  <w:num w:numId="18">
    <w:abstractNumId w:val="16"/>
  </w:num>
  <w:num w:numId="19">
    <w:abstractNumId w:val="32"/>
  </w:num>
  <w:num w:numId="20">
    <w:abstractNumId w:val="26"/>
  </w:num>
  <w:num w:numId="21">
    <w:abstractNumId w:val="36"/>
  </w:num>
  <w:num w:numId="22">
    <w:abstractNumId w:val="4"/>
  </w:num>
  <w:num w:numId="23">
    <w:abstractNumId w:val="10"/>
  </w:num>
  <w:num w:numId="24">
    <w:abstractNumId w:val="13"/>
  </w:num>
  <w:num w:numId="25">
    <w:abstractNumId w:val="37"/>
  </w:num>
  <w:num w:numId="26">
    <w:abstractNumId w:val="14"/>
  </w:num>
  <w:num w:numId="27">
    <w:abstractNumId w:val="23"/>
  </w:num>
  <w:num w:numId="28">
    <w:abstractNumId w:val="3"/>
  </w:num>
  <w:num w:numId="29">
    <w:abstractNumId w:val="20"/>
  </w:num>
  <w:num w:numId="30">
    <w:abstractNumId w:val="1"/>
  </w:num>
  <w:num w:numId="31">
    <w:abstractNumId w:val="39"/>
  </w:num>
  <w:num w:numId="32">
    <w:abstractNumId w:val="33"/>
  </w:num>
  <w:num w:numId="33">
    <w:abstractNumId w:val="34"/>
  </w:num>
  <w:num w:numId="34">
    <w:abstractNumId w:val="12"/>
  </w:num>
  <w:num w:numId="35">
    <w:abstractNumId w:val="27"/>
  </w:num>
  <w:num w:numId="36">
    <w:abstractNumId w:val="11"/>
  </w:num>
  <w:num w:numId="37">
    <w:abstractNumId w:val="35"/>
  </w:num>
  <w:num w:numId="38">
    <w:abstractNumId w:val="24"/>
  </w:num>
  <w:num w:numId="39">
    <w:abstractNumId w:val="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1486"/>
    <w:rsid w:val="000626D3"/>
    <w:rsid w:val="00064DE4"/>
    <w:rsid w:val="00070D5B"/>
    <w:rsid w:val="0007406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B61"/>
    <w:rsid w:val="00144DE4"/>
    <w:rsid w:val="001544C1"/>
    <w:rsid w:val="00171A90"/>
    <w:rsid w:val="00177B10"/>
    <w:rsid w:val="00181328"/>
    <w:rsid w:val="00191B7B"/>
    <w:rsid w:val="00197C90"/>
    <w:rsid w:val="001A3F21"/>
    <w:rsid w:val="001A5E37"/>
    <w:rsid w:val="001A6C44"/>
    <w:rsid w:val="001A7968"/>
    <w:rsid w:val="001C1F3B"/>
    <w:rsid w:val="001C24FE"/>
    <w:rsid w:val="001C3070"/>
    <w:rsid w:val="001C3917"/>
    <w:rsid w:val="001D52FA"/>
    <w:rsid w:val="001D6973"/>
    <w:rsid w:val="001D7A81"/>
    <w:rsid w:val="001F5F23"/>
    <w:rsid w:val="001F6AB9"/>
    <w:rsid w:val="00213A46"/>
    <w:rsid w:val="00226288"/>
    <w:rsid w:val="0022697A"/>
    <w:rsid w:val="002560A1"/>
    <w:rsid w:val="002566D7"/>
    <w:rsid w:val="00257269"/>
    <w:rsid w:val="0026006A"/>
    <w:rsid w:val="00262EF5"/>
    <w:rsid w:val="00265B89"/>
    <w:rsid w:val="00272217"/>
    <w:rsid w:val="00274D1F"/>
    <w:rsid w:val="00276C42"/>
    <w:rsid w:val="002A0418"/>
    <w:rsid w:val="002A19F6"/>
    <w:rsid w:val="002A557A"/>
    <w:rsid w:val="003014A3"/>
    <w:rsid w:val="00306F18"/>
    <w:rsid w:val="00321923"/>
    <w:rsid w:val="003220C3"/>
    <w:rsid w:val="00340826"/>
    <w:rsid w:val="00346010"/>
    <w:rsid w:val="003463D1"/>
    <w:rsid w:val="00351017"/>
    <w:rsid w:val="00367548"/>
    <w:rsid w:val="00373672"/>
    <w:rsid w:val="003804F3"/>
    <w:rsid w:val="003918BB"/>
    <w:rsid w:val="00392DDE"/>
    <w:rsid w:val="003A0D46"/>
    <w:rsid w:val="003A464D"/>
    <w:rsid w:val="003B5BC6"/>
    <w:rsid w:val="003E1736"/>
    <w:rsid w:val="003E3908"/>
    <w:rsid w:val="00401216"/>
    <w:rsid w:val="00403619"/>
    <w:rsid w:val="004105D8"/>
    <w:rsid w:val="00415721"/>
    <w:rsid w:val="004401F4"/>
    <w:rsid w:val="004407DC"/>
    <w:rsid w:val="00443069"/>
    <w:rsid w:val="00445EF9"/>
    <w:rsid w:val="004571B9"/>
    <w:rsid w:val="004605F6"/>
    <w:rsid w:val="0046451F"/>
    <w:rsid w:val="0046535F"/>
    <w:rsid w:val="00477A83"/>
    <w:rsid w:val="00481597"/>
    <w:rsid w:val="004817FB"/>
    <w:rsid w:val="004A2787"/>
    <w:rsid w:val="004B1435"/>
    <w:rsid w:val="004B4F02"/>
    <w:rsid w:val="004C0C61"/>
    <w:rsid w:val="00507894"/>
    <w:rsid w:val="00513A4B"/>
    <w:rsid w:val="00520897"/>
    <w:rsid w:val="00530740"/>
    <w:rsid w:val="00537C82"/>
    <w:rsid w:val="0054012D"/>
    <w:rsid w:val="005475DE"/>
    <w:rsid w:val="00547750"/>
    <w:rsid w:val="00570C27"/>
    <w:rsid w:val="0057103A"/>
    <w:rsid w:val="0058077E"/>
    <w:rsid w:val="0058611D"/>
    <w:rsid w:val="0058634F"/>
    <w:rsid w:val="005A0E49"/>
    <w:rsid w:val="005A5380"/>
    <w:rsid w:val="005C3F84"/>
    <w:rsid w:val="005C623C"/>
    <w:rsid w:val="005D59E6"/>
    <w:rsid w:val="005E1DD1"/>
    <w:rsid w:val="005E61DC"/>
    <w:rsid w:val="005F0161"/>
    <w:rsid w:val="005F022F"/>
    <w:rsid w:val="005F3F60"/>
    <w:rsid w:val="006143F9"/>
    <w:rsid w:val="00623204"/>
    <w:rsid w:val="00640964"/>
    <w:rsid w:val="006452EA"/>
    <w:rsid w:val="0066716B"/>
    <w:rsid w:val="00677382"/>
    <w:rsid w:val="00682173"/>
    <w:rsid w:val="00697D14"/>
    <w:rsid w:val="006C15C6"/>
    <w:rsid w:val="006C2171"/>
    <w:rsid w:val="006D5941"/>
    <w:rsid w:val="006D78FD"/>
    <w:rsid w:val="006E1BAA"/>
    <w:rsid w:val="006F1125"/>
    <w:rsid w:val="006F1AC9"/>
    <w:rsid w:val="0070039B"/>
    <w:rsid w:val="00702136"/>
    <w:rsid w:val="00713AAF"/>
    <w:rsid w:val="007143F9"/>
    <w:rsid w:val="0073437F"/>
    <w:rsid w:val="00735FDB"/>
    <w:rsid w:val="00737128"/>
    <w:rsid w:val="00742CE2"/>
    <w:rsid w:val="0076147E"/>
    <w:rsid w:val="00772ED8"/>
    <w:rsid w:val="00774ABF"/>
    <w:rsid w:val="00794425"/>
    <w:rsid w:val="0079664A"/>
    <w:rsid w:val="00797E70"/>
    <w:rsid w:val="007A4EF3"/>
    <w:rsid w:val="007B0121"/>
    <w:rsid w:val="007E092F"/>
    <w:rsid w:val="007F0A48"/>
    <w:rsid w:val="007F0D37"/>
    <w:rsid w:val="007F727D"/>
    <w:rsid w:val="007F7E9B"/>
    <w:rsid w:val="008030A6"/>
    <w:rsid w:val="008051FD"/>
    <w:rsid w:val="00807C59"/>
    <w:rsid w:val="00822BA4"/>
    <w:rsid w:val="008250FF"/>
    <w:rsid w:val="008461E1"/>
    <w:rsid w:val="0085010B"/>
    <w:rsid w:val="008547A0"/>
    <w:rsid w:val="00891766"/>
    <w:rsid w:val="008B07C0"/>
    <w:rsid w:val="008C0447"/>
    <w:rsid w:val="009051A1"/>
    <w:rsid w:val="00910E99"/>
    <w:rsid w:val="009178FE"/>
    <w:rsid w:val="00920D02"/>
    <w:rsid w:val="00925AF1"/>
    <w:rsid w:val="0093011B"/>
    <w:rsid w:val="009368F5"/>
    <w:rsid w:val="00943181"/>
    <w:rsid w:val="00944CAE"/>
    <w:rsid w:val="009479AC"/>
    <w:rsid w:val="00956624"/>
    <w:rsid w:val="0097733B"/>
    <w:rsid w:val="009A1B07"/>
    <w:rsid w:val="009A4FA6"/>
    <w:rsid w:val="009A66B2"/>
    <w:rsid w:val="009C58AA"/>
    <w:rsid w:val="009C73C6"/>
    <w:rsid w:val="009E15B5"/>
    <w:rsid w:val="009E1B64"/>
    <w:rsid w:val="009F50FD"/>
    <w:rsid w:val="009F7BA2"/>
    <w:rsid w:val="00A04D46"/>
    <w:rsid w:val="00A13CD6"/>
    <w:rsid w:val="00A15C08"/>
    <w:rsid w:val="00A16171"/>
    <w:rsid w:val="00A23141"/>
    <w:rsid w:val="00A24BCC"/>
    <w:rsid w:val="00A5108C"/>
    <w:rsid w:val="00A7235B"/>
    <w:rsid w:val="00A73AAF"/>
    <w:rsid w:val="00A757B0"/>
    <w:rsid w:val="00A9766B"/>
    <w:rsid w:val="00AA3FF1"/>
    <w:rsid w:val="00AB73AA"/>
    <w:rsid w:val="00AC0A7D"/>
    <w:rsid w:val="00AD69E4"/>
    <w:rsid w:val="00AD7894"/>
    <w:rsid w:val="00AE3F08"/>
    <w:rsid w:val="00AF3D8F"/>
    <w:rsid w:val="00B0470F"/>
    <w:rsid w:val="00B10596"/>
    <w:rsid w:val="00B16A61"/>
    <w:rsid w:val="00B30F66"/>
    <w:rsid w:val="00B333B8"/>
    <w:rsid w:val="00B42D2F"/>
    <w:rsid w:val="00B431A0"/>
    <w:rsid w:val="00B47E74"/>
    <w:rsid w:val="00B541B8"/>
    <w:rsid w:val="00B57FAC"/>
    <w:rsid w:val="00B7240F"/>
    <w:rsid w:val="00B74DE5"/>
    <w:rsid w:val="00B8324A"/>
    <w:rsid w:val="00B94398"/>
    <w:rsid w:val="00BA3C3F"/>
    <w:rsid w:val="00BB73BB"/>
    <w:rsid w:val="00BC229D"/>
    <w:rsid w:val="00BE7099"/>
    <w:rsid w:val="00BF1412"/>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80D58"/>
    <w:rsid w:val="00C96136"/>
    <w:rsid w:val="00CA00A9"/>
    <w:rsid w:val="00CB1588"/>
    <w:rsid w:val="00CD1E96"/>
    <w:rsid w:val="00CD4AE1"/>
    <w:rsid w:val="00CF622D"/>
    <w:rsid w:val="00D0150A"/>
    <w:rsid w:val="00D043C0"/>
    <w:rsid w:val="00D05F12"/>
    <w:rsid w:val="00D071E6"/>
    <w:rsid w:val="00D113BA"/>
    <w:rsid w:val="00D21926"/>
    <w:rsid w:val="00D25FF0"/>
    <w:rsid w:val="00D322E6"/>
    <w:rsid w:val="00D40674"/>
    <w:rsid w:val="00D449AC"/>
    <w:rsid w:val="00D50588"/>
    <w:rsid w:val="00D65A21"/>
    <w:rsid w:val="00D70851"/>
    <w:rsid w:val="00D72330"/>
    <w:rsid w:val="00D743CB"/>
    <w:rsid w:val="00D915A1"/>
    <w:rsid w:val="00D9293D"/>
    <w:rsid w:val="00DA3508"/>
    <w:rsid w:val="00DA7ADD"/>
    <w:rsid w:val="00DD063D"/>
    <w:rsid w:val="00DE114A"/>
    <w:rsid w:val="00DF2A9D"/>
    <w:rsid w:val="00E16955"/>
    <w:rsid w:val="00E24340"/>
    <w:rsid w:val="00E36539"/>
    <w:rsid w:val="00E400D2"/>
    <w:rsid w:val="00E471E2"/>
    <w:rsid w:val="00E4780C"/>
    <w:rsid w:val="00E54363"/>
    <w:rsid w:val="00E7070B"/>
    <w:rsid w:val="00E75201"/>
    <w:rsid w:val="00E8630D"/>
    <w:rsid w:val="00E93B4F"/>
    <w:rsid w:val="00EA1AEB"/>
    <w:rsid w:val="00EA3D1C"/>
    <w:rsid w:val="00EA6393"/>
    <w:rsid w:val="00ED4A65"/>
    <w:rsid w:val="00EE5B89"/>
    <w:rsid w:val="00EF6341"/>
    <w:rsid w:val="00F02F94"/>
    <w:rsid w:val="00F04059"/>
    <w:rsid w:val="00F04144"/>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1398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54</cp:revision>
  <cp:lastPrinted>2023-01-24T06:45:00Z</cp:lastPrinted>
  <dcterms:created xsi:type="dcterms:W3CDTF">2023-01-23T08:18:00Z</dcterms:created>
  <dcterms:modified xsi:type="dcterms:W3CDTF">2023-02-01T10:04:00Z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